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058B" w14:textId="77777777" w:rsidR="005042E9" w:rsidRDefault="00735BAE">
      <w:pPr>
        <w:spacing w:before="1440" w:after="240"/>
        <w:jc w:val="center"/>
      </w:pPr>
      <w:r>
        <w:rPr>
          <w:b/>
          <w:bCs/>
          <w:sz w:val="28"/>
          <w:szCs w:val="28"/>
        </w:rPr>
        <w:t>SKAGIT COUNTY SUPERIOR COURT</w:t>
      </w:r>
    </w:p>
    <w:p w14:paraId="1E4E8C3A" w14:textId="77777777" w:rsidR="005042E9" w:rsidRDefault="00735BAE">
      <w:pPr>
        <w:spacing w:after="240"/>
        <w:jc w:val="center"/>
      </w:pPr>
      <w:r>
        <w:rPr>
          <w:b/>
          <w:bCs/>
          <w:sz w:val="28"/>
          <w:szCs w:val="28"/>
        </w:rPr>
        <w:t>LOCAL COURT RULE PROPOSAL</w:t>
      </w:r>
    </w:p>
    <w:p w14:paraId="466641BF" w14:textId="77777777" w:rsidR="005042E9" w:rsidRDefault="00735BAE">
      <w:pPr>
        <w:spacing w:after="1440"/>
        <w:jc w:val="center"/>
      </w:pPr>
      <w:r>
        <w:t>2026 Rule Amendment Cycle</w:t>
      </w:r>
    </w:p>
    <w:p w14:paraId="5BF50A76" w14:textId="77777777" w:rsidR="005042E9" w:rsidRDefault="00735BAE">
      <w:pPr>
        <w:spacing w:before="240" w:after="120"/>
      </w:pPr>
      <w:r>
        <w:rPr>
          <w:b/>
          <w:bCs/>
        </w:rPr>
        <w:t xml:space="preserve">Date Submitted: </w:t>
      </w:r>
      <w:r>
        <w:t>April 10, 2026</w:t>
      </w:r>
    </w:p>
    <w:p w14:paraId="629F350B" w14:textId="15283021" w:rsidR="005042E9" w:rsidRDefault="00735BAE">
      <w:pPr>
        <w:spacing w:before="120" w:after="120"/>
      </w:pPr>
      <w:r>
        <w:rPr>
          <w:b/>
          <w:bCs/>
        </w:rPr>
        <w:t xml:space="preserve">Submitted By: </w:t>
      </w:r>
      <w:r w:rsidR="00240B7F">
        <w:t>Devin Hennessey</w:t>
      </w:r>
    </w:p>
    <w:p w14:paraId="1F54CAE7" w14:textId="77777777" w:rsidR="005042E9" w:rsidRDefault="00735BAE">
      <w:pPr>
        <w:spacing w:before="120" w:after="240"/>
      </w:pPr>
      <w:r>
        <w:rPr>
          <w:b/>
          <w:bCs/>
        </w:rPr>
        <w:t xml:space="preserve">WSBA No.: </w:t>
      </w:r>
      <w:r>
        <w:t>53095</w:t>
      </w:r>
    </w:p>
    <w:p w14:paraId="12F8B51F" w14:textId="77777777" w:rsidR="005042E9" w:rsidRDefault="00735BAE">
      <w:pPr>
        <w:spacing w:before="120" w:after="120"/>
      </w:pPr>
      <w:r>
        <w:rPr>
          <w:b/>
          <w:bCs/>
        </w:rPr>
        <w:t xml:space="preserve">Rule Affected: </w:t>
      </w:r>
      <w:proofErr w:type="spellStart"/>
      <w:r>
        <w:t>SCLCrR</w:t>
      </w:r>
      <w:proofErr w:type="spellEnd"/>
      <w:r>
        <w:t xml:space="preserve"> 3.3(f)(1) – Time </w:t>
      </w:r>
      <w:proofErr w:type="gramStart"/>
      <w:r>
        <w:t>For</w:t>
      </w:r>
      <w:proofErr w:type="gramEnd"/>
      <w:r>
        <w:t xml:space="preserve"> Trial / Continuances</w:t>
      </w:r>
    </w:p>
    <w:p w14:paraId="11397BAA" w14:textId="00B7487A" w:rsidR="005042E9" w:rsidRDefault="00735BAE">
      <w:pPr>
        <w:spacing w:before="120" w:after="480"/>
      </w:pPr>
      <w:r>
        <w:rPr>
          <w:b/>
          <w:bCs/>
        </w:rPr>
        <w:t xml:space="preserve">Summary: </w:t>
      </w:r>
      <w:r>
        <w:t xml:space="preserve">Extend the </w:t>
      </w:r>
      <w:r w:rsidR="00240B7F">
        <w:t xml:space="preserve">mandatory on </w:t>
      </w:r>
      <w:r w:rsidR="007E407D">
        <w:t xml:space="preserve">record hearing for continuances </w:t>
      </w:r>
      <w:r>
        <w:t>from 12 months to 24 months for felony cases not currently subject to the 24-month threshold, creating a uniform standard across all felony classifications.</w:t>
      </w:r>
    </w:p>
    <w:p w14:paraId="6549D93C" w14:textId="03762078" w:rsidR="00240B7F" w:rsidRDefault="00735BAE">
      <w:r>
        <w:br/>
      </w:r>
    </w:p>
    <w:p w14:paraId="65C85B07" w14:textId="77777777" w:rsidR="00240B7F" w:rsidRDefault="00240B7F">
      <w:r>
        <w:br w:type="page"/>
      </w:r>
    </w:p>
    <w:p w14:paraId="073B27E5" w14:textId="77777777" w:rsidR="005042E9" w:rsidRDefault="005042E9"/>
    <w:p w14:paraId="5D1FC0A4" w14:textId="77777777" w:rsidR="005042E9" w:rsidRDefault="00735BAE">
      <w:pPr>
        <w:spacing w:before="480" w:after="240"/>
        <w:jc w:val="center"/>
      </w:pPr>
      <w:r>
        <w:rPr>
          <w:b/>
          <w:bCs/>
          <w:sz w:val="28"/>
          <w:szCs w:val="28"/>
        </w:rPr>
        <w:t>PROPOSED AMENDMENT</w:t>
      </w:r>
    </w:p>
    <w:p w14:paraId="262E385C" w14:textId="77777777" w:rsidR="005042E9" w:rsidRDefault="00735BAE">
      <w:pPr>
        <w:spacing w:after="480"/>
        <w:jc w:val="center"/>
      </w:pPr>
      <w:proofErr w:type="spellStart"/>
      <w:r>
        <w:rPr>
          <w:b/>
          <w:bCs/>
        </w:rPr>
        <w:t>SCLCrR</w:t>
      </w:r>
      <w:proofErr w:type="spellEnd"/>
      <w:r>
        <w:rPr>
          <w:b/>
          <w:bCs/>
        </w:rPr>
        <w:t xml:space="preserve"> 3.3 – Time </w:t>
      </w:r>
      <w:proofErr w:type="gramStart"/>
      <w:r>
        <w:rPr>
          <w:b/>
          <w:bCs/>
        </w:rPr>
        <w:t>For</w:t>
      </w:r>
      <w:proofErr w:type="gramEnd"/>
      <w:r>
        <w:rPr>
          <w:b/>
          <w:bCs/>
        </w:rPr>
        <w:t xml:space="preserve"> Trial</w:t>
      </w:r>
    </w:p>
    <w:p w14:paraId="5634E0A9" w14:textId="77777777" w:rsidR="005042E9" w:rsidRDefault="00735BAE">
      <w:pPr>
        <w:spacing w:before="240" w:after="120"/>
      </w:pPr>
      <w:r>
        <w:rPr>
          <w:b/>
          <w:bCs/>
        </w:rPr>
        <w:t>(f) Continuances.</w:t>
      </w:r>
    </w:p>
    <w:p w14:paraId="459B98EC" w14:textId="77777777" w:rsidR="005042E9" w:rsidRDefault="00735BAE">
      <w:pPr>
        <w:spacing w:after="240"/>
      </w:pPr>
      <w:r>
        <w:t xml:space="preserve">Any motion to continue a trial date once a case is older than the </w:t>
      </w:r>
      <w:proofErr w:type="gramStart"/>
      <w:r>
        <w:t>below timelines</w:t>
      </w:r>
      <w:proofErr w:type="gramEnd"/>
      <w:r>
        <w:t xml:space="preserve"> shall be called on the record on the criminal calendar regardless of whether the requested continuance is agreed by the parties:</w:t>
      </w:r>
    </w:p>
    <w:p w14:paraId="7D46744A" w14:textId="2240DD38" w:rsidR="005042E9" w:rsidRPr="00240B7F" w:rsidRDefault="00735BAE">
      <w:pPr>
        <w:spacing w:after="240"/>
        <w:ind w:left="720"/>
      </w:pPr>
      <w:r>
        <w:t xml:space="preserve">(1) If the motion is made more than 24 months from the date of arraignment </w:t>
      </w:r>
      <w:r w:rsidRPr="00240B7F">
        <w:rPr>
          <w:strike/>
        </w:rPr>
        <w:t xml:space="preserve">on a Class A Felony or an offense classified as a “sex offense” under the Sentencing Reform Act or more than </w:t>
      </w:r>
      <w:r w:rsidRPr="00240B7F">
        <w:rPr>
          <w:strike/>
        </w:rPr>
        <w:t>12 months</w:t>
      </w:r>
      <w:r w:rsidRPr="00240B7F">
        <w:rPr>
          <w:strike/>
        </w:rPr>
        <w:t xml:space="preserve"> </w:t>
      </w:r>
      <w:r w:rsidRPr="00240B7F">
        <w:rPr>
          <w:strike/>
        </w:rPr>
        <w:t xml:space="preserve">from the date of arraignment for all other </w:t>
      </w:r>
      <w:r w:rsidRPr="00240B7F">
        <w:rPr>
          <w:strike/>
        </w:rPr>
        <w:t>types of charges</w:t>
      </w:r>
      <w:r w:rsidR="00240B7F" w:rsidRPr="00240B7F">
        <w:rPr>
          <w:strike/>
        </w:rPr>
        <w:t>.</w:t>
      </w:r>
      <w:r w:rsidR="00240B7F">
        <w:t xml:space="preserve"> </w:t>
      </w:r>
    </w:p>
    <w:p w14:paraId="12E843EE" w14:textId="77777777" w:rsidR="005042E9" w:rsidRDefault="00735BAE">
      <w:pPr>
        <w:spacing w:after="240"/>
        <w:ind w:left="720"/>
      </w:pPr>
      <w:r>
        <w:t xml:space="preserve">(2) A party’s request for the above </w:t>
      </w:r>
      <w:proofErr w:type="gramStart"/>
      <w:r>
        <w:t>time period</w:t>
      </w:r>
      <w:proofErr w:type="gramEnd"/>
      <w:r>
        <w:t xml:space="preserve"> to be extended may be granted upon a good cause showing.</w:t>
      </w:r>
    </w:p>
    <w:p w14:paraId="7382BD7A" w14:textId="77777777" w:rsidR="005042E9" w:rsidRDefault="00735BAE">
      <w:pPr>
        <w:spacing w:after="240"/>
        <w:ind w:left="720"/>
      </w:pPr>
      <w:r>
        <w:t>(3) To effectuate this rule, the clerk shall not strike hearings scheduled by court order absent an order with judicial signature or a strike being noted on the record during the criminal calendar or other criminal proceeding.</w:t>
      </w:r>
    </w:p>
    <w:p w14:paraId="79ABDE1D" w14:textId="77777777" w:rsidR="005042E9" w:rsidRDefault="00735BAE">
      <w:pPr>
        <w:spacing w:after="480"/>
        <w:ind w:left="720"/>
      </w:pPr>
      <w:r>
        <w:t xml:space="preserve">(4) All motions to continue confirmed trials shall be heard on the record. The parties shall communicate with Court Administration </w:t>
      </w:r>
      <w:proofErr w:type="gramStart"/>
      <w:r>
        <w:t>if moving</w:t>
      </w:r>
      <w:proofErr w:type="gramEnd"/>
      <w:r>
        <w:t xml:space="preserve"> to continue a confirmed trial to </w:t>
      </w:r>
      <w:proofErr w:type="gramStart"/>
      <w:r>
        <w:t>make arrangements</w:t>
      </w:r>
      <w:proofErr w:type="gramEnd"/>
      <w:r>
        <w:t xml:space="preserve"> for a hearing date and time.</w:t>
      </w:r>
    </w:p>
    <w:p w14:paraId="7D38E0B2" w14:textId="77777777" w:rsidR="00240B7F" w:rsidRDefault="00240B7F">
      <w:pPr>
        <w:spacing w:after="480"/>
        <w:ind w:left="720"/>
      </w:pPr>
    </w:p>
    <w:p w14:paraId="39D3957F" w14:textId="6B7960B0" w:rsidR="007E407D" w:rsidRDefault="007E407D">
      <w:r>
        <w:br w:type="page"/>
      </w:r>
    </w:p>
    <w:p w14:paraId="1D6129F9" w14:textId="51A6A131" w:rsidR="007E407D" w:rsidRDefault="007E407D" w:rsidP="007E407D">
      <w:r>
        <w:lastRenderedPageBreak/>
        <w:br/>
      </w:r>
      <w:r>
        <w:br/>
      </w:r>
      <w:r>
        <w:br/>
      </w:r>
      <w:r>
        <w:br/>
        <w:t>COMMENT IN SUPPORT</w:t>
      </w:r>
      <w:r>
        <w:br/>
      </w:r>
      <w:r>
        <w:br/>
      </w:r>
      <w:r w:rsidRPr="007E407D">
        <w:t xml:space="preserve">The existing 12-month threshold uses offense classification as a proxy for case complexity, but classification correlates poorly with the actual demands a </w:t>
      </w:r>
      <w:proofErr w:type="gramStart"/>
      <w:r w:rsidRPr="007E407D">
        <w:t>case places</w:t>
      </w:r>
      <w:proofErr w:type="gramEnd"/>
      <w:r w:rsidRPr="007E407D">
        <w:t xml:space="preserve"> on counsel. Many non-Class-A felonies involve substantial discovery </w:t>
      </w:r>
      <w:r w:rsidR="00BB6D63">
        <w:t>(</w:t>
      </w:r>
      <w:r w:rsidRPr="007E407D">
        <w:t>digital evidence, medical records, multi-agency investigations</w:t>
      </w:r>
      <w:r w:rsidR="00BB6D63">
        <w:t xml:space="preserve">, etc.) </w:t>
      </w:r>
      <w:r w:rsidRPr="007E407D">
        <w:t>that cannot</w:t>
      </w:r>
      <w:r w:rsidR="00BB6D63">
        <w:t xml:space="preserve"> always</w:t>
      </w:r>
      <w:r w:rsidRPr="007E407D">
        <w:t xml:space="preserve"> be fully received, reviewed, and acted upon within 12 months </w:t>
      </w:r>
      <w:r w:rsidR="00BB6D63">
        <w:t>a</w:t>
      </w:r>
      <w:r w:rsidRPr="007E407D">
        <w:t>f</w:t>
      </w:r>
      <w:r w:rsidR="00BB6D63">
        <w:t>ter</w:t>
      </w:r>
      <w:r w:rsidRPr="007E407D">
        <w:t xml:space="preserve"> arraignment. The current rule requires both parties to appear on the criminal calendar to justify continuances in cases where they </w:t>
      </w:r>
      <w:proofErr w:type="gramStart"/>
      <w:r w:rsidRPr="007E407D">
        <w:t>are in agreement</w:t>
      </w:r>
      <w:proofErr w:type="gramEnd"/>
      <w:r w:rsidRPr="007E407D">
        <w:t>, consuming judicial and attorney resources without a corresponding benefit to the orderly resolution of cases.</w:t>
      </w:r>
    </w:p>
    <w:p w14:paraId="341BB117" w14:textId="77777777" w:rsidR="00BB6D63" w:rsidRPr="007E407D" w:rsidRDefault="00BB6D63" w:rsidP="007E407D"/>
    <w:p w14:paraId="3393EA0F" w14:textId="77777777" w:rsidR="007E407D" w:rsidRPr="007E407D" w:rsidRDefault="007E407D" w:rsidP="007E407D">
      <w:r w:rsidRPr="007E407D">
        <w:t>Extending the threshold to 24 months for all felony cases creates a uniform standard, eliminates unnecessary calendar appearances on agreed continuances in complex non-Class-A cases, and preserves the court’s oversight function for cases where the timeline genuinely warrants scrutiny. The good cause extension mechanism in subsection (f)(2) remains available for cases requiring time beyond 24 months.</w:t>
      </w:r>
    </w:p>
    <w:p w14:paraId="2A7F33B4" w14:textId="4C87088E" w:rsidR="005042E9" w:rsidRDefault="005042E9" w:rsidP="00240B7F"/>
    <w:sectPr w:rsidR="005042E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358"/>
    <w:multiLevelType w:val="hybridMultilevel"/>
    <w:tmpl w:val="9BE63D4A"/>
    <w:lvl w:ilvl="0" w:tplc="8C8C4BF2">
      <w:start w:val="1"/>
      <w:numFmt w:val="bullet"/>
      <w:lvlText w:val="●"/>
      <w:lvlJc w:val="left"/>
      <w:pPr>
        <w:ind w:left="720" w:hanging="360"/>
      </w:pPr>
    </w:lvl>
    <w:lvl w:ilvl="1" w:tplc="E104F52A">
      <w:start w:val="1"/>
      <w:numFmt w:val="bullet"/>
      <w:lvlText w:val="○"/>
      <w:lvlJc w:val="left"/>
      <w:pPr>
        <w:ind w:left="1440" w:hanging="360"/>
      </w:pPr>
    </w:lvl>
    <w:lvl w:ilvl="2" w:tplc="1528044C">
      <w:start w:val="1"/>
      <w:numFmt w:val="bullet"/>
      <w:lvlText w:val="■"/>
      <w:lvlJc w:val="left"/>
      <w:pPr>
        <w:ind w:left="2160" w:hanging="360"/>
      </w:pPr>
    </w:lvl>
    <w:lvl w:ilvl="3" w:tplc="3C9CBDE4">
      <w:start w:val="1"/>
      <w:numFmt w:val="bullet"/>
      <w:lvlText w:val="●"/>
      <w:lvlJc w:val="left"/>
      <w:pPr>
        <w:ind w:left="2880" w:hanging="360"/>
      </w:pPr>
    </w:lvl>
    <w:lvl w:ilvl="4" w:tplc="5994D5D4">
      <w:start w:val="1"/>
      <w:numFmt w:val="bullet"/>
      <w:lvlText w:val="○"/>
      <w:lvlJc w:val="left"/>
      <w:pPr>
        <w:ind w:left="3600" w:hanging="360"/>
      </w:pPr>
    </w:lvl>
    <w:lvl w:ilvl="5" w:tplc="CA82859E">
      <w:start w:val="1"/>
      <w:numFmt w:val="bullet"/>
      <w:lvlText w:val="■"/>
      <w:lvlJc w:val="left"/>
      <w:pPr>
        <w:ind w:left="4320" w:hanging="360"/>
      </w:pPr>
    </w:lvl>
    <w:lvl w:ilvl="6" w:tplc="A5E82318">
      <w:start w:val="1"/>
      <w:numFmt w:val="bullet"/>
      <w:lvlText w:val="●"/>
      <w:lvlJc w:val="left"/>
      <w:pPr>
        <w:ind w:left="5040" w:hanging="360"/>
      </w:pPr>
    </w:lvl>
    <w:lvl w:ilvl="7" w:tplc="BA7CC522">
      <w:start w:val="1"/>
      <w:numFmt w:val="bullet"/>
      <w:lvlText w:val="●"/>
      <w:lvlJc w:val="left"/>
      <w:pPr>
        <w:ind w:left="5760" w:hanging="360"/>
      </w:pPr>
    </w:lvl>
    <w:lvl w:ilvl="8" w:tplc="296C8020">
      <w:start w:val="1"/>
      <w:numFmt w:val="bullet"/>
      <w:lvlText w:val="●"/>
      <w:lvlJc w:val="left"/>
      <w:pPr>
        <w:ind w:left="6480" w:hanging="360"/>
      </w:pPr>
    </w:lvl>
  </w:abstractNum>
  <w:num w:numId="1" w16cid:durableId="16313234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E9"/>
    <w:rsid w:val="00240B7F"/>
    <w:rsid w:val="005042E9"/>
    <w:rsid w:val="00735BAE"/>
    <w:rsid w:val="007E407D"/>
    <w:rsid w:val="00BB6D63"/>
    <w:rsid w:val="00F1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A0FA"/>
  <w15:docId w15:val="{51AA2EBB-4B70-4626-A715-7DBADFA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397</Words>
  <Characters>2220</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Skagit County Government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Devin Hennessey</cp:lastModifiedBy>
  <cp:revision>3</cp:revision>
  <dcterms:created xsi:type="dcterms:W3CDTF">2026-04-10T23:16:00Z</dcterms:created>
  <dcterms:modified xsi:type="dcterms:W3CDTF">2026-04-10T23:18:00Z</dcterms:modified>
</cp:coreProperties>
</file>